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55" w:rsidRPr="00660782" w:rsidRDefault="00660782" w:rsidP="00B75655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252525"/>
          <w:kern w:val="36"/>
          <w:sz w:val="48"/>
          <w:szCs w:val="48"/>
        </w:rPr>
      </w:pPr>
      <w:r w:rsidRPr="00660782">
        <w:rPr>
          <w:rFonts w:ascii="Century Gothic" w:eastAsia="Times New Roman" w:hAnsi="Century Gothic" w:cs="Arial"/>
          <w:b/>
          <w:bCs/>
          <w:color w:val="252525"/>
          <w:kern w:val="36"/>
          <w:sz w:val="48"/>
          <w:szCs w:val="48"/>
        </w:rPr>
        <w:t>Sample</w:t>
      </w:r>
      <w:proofErr w:type="gramStart"/>
      <w:r w:rsidRPr="00660782">
        <w:rPr>
          <w:rFonts w:ascii="Century Gothic" w:eastAsia="Times New Roman" w:hAnsi="Century Gothic" w:cs="Arial"/>
          <w:b/>
          <w:bCs/>
          <w:color w:val="252525"/>
          <w:kern w:val="36"/>
          <w:sz w:val="48"/>
          <w:szCs w:val="48"/>
        </w:rPr>
        <w:t> </w:t>
      </w:r>
      <w:r w:rsidR="00B75655" w:rsidRPr="00660782">
        <w:rPr>
          <w:rFonts w:ascii="Century Gothic" w:eastAsia="Times New Roman" w:hAnsi="Century Gothic" w:cs="Arial"/>
          <w:color w:val="252525"/>
          <w:kern w:val="36"/>
          <w:sz w:val="48"/>
          <w:szCs w:val="48"/>
        </w:rPr>
        <w:t> –</w:t>
      </w:r>
      <w:proofErr w:type="gramEnd"/>
      <w:r w:rsidR="00B75655" w:rsidRPr="00660782">
        <w:rPr>
          <w:rFonts w:ascii="Century Gothic" w:eastAsia="Times New Roman" w:hAnsi="Century Gothic" w:cs="Arial"/>
          <w:color w:val="252525"/>
          <w:kern w:val="36"/>
          <w:sz w:val="48"/>
          <w:szCs w:val="48"/>
        </w:rPr>
        <w:t xml:space="preserve"> Collection of Debt</w:t>
      </w:r>
    </w:p>
    <w:p w:rsidR="00B75655" w:rsidRPr="00660782" w:rsidRDefault="00B75655" w:rsidP="00B75655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252525"/>
          <w:kern w:val="36"/>
          <w:sz w:val="48"/>
          <w:szCs w:val="48"/>
        </w:rPr>
      </w:pPr>
    </w:p>
    <w:p w:rsidR="00B75655" w:rsidRPr="00660782" w:rsidRDefault="00B75655" w:rsidP="00B75655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Dunn &amp; Associates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Attorneys at Law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155 W 70</w:t>
      </w:r>
      <w:r w:rsidRPr="00660782">
        <w:rPr>
          <w:rFonts w:ascii="Century Gothic" w:eastAsia="Times New Roman" w:hAnsi="Century Gothic" w:cs="Arial"/>
          <w:color w:val="252525"/>
          <w:sz w:val="17"/>
          <w:szCs w:val="17"/>
          <w:vertAlign w:val="superscript"/>
        </w:rPr>
        <w:t>th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 St</w:t>
      </w:r>
      <w:proofErr w:type="gramStart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.</w:t>
      </w:r>
      <w:proofErr w:type="gramEnd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New York, NY 10023</w:t>
      </w:r>
    </w:p>
    <w:p w:rsidR="00B75655" w:rsidRPr="00660782" w:rsidRDefault="00B75655" w:rsidP="00B75655">
      <w:pPr>
        <w:shd w:val="clear" w:color="auto" w:fill="FFFFFF"/>
        <w:spacing w:after="240" w:line="240" w:lineRule="auto"/>
        <w:jc w:val="right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November 19, 2017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Mr. Calvin Jones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Baxter Construction LTD</w:t>
      </w:r>
      <w:proofErr w:type="gramStart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.</w:t>
      </w:r>
      <w:proofErr w:type="gramEnd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201 Ann St.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Newburgh, NY 12550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 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Re: Final Demand Letter Prior to Legal Action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 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 xml:space="preserve">On behalf of our client </w:t>
      </w:r>
      <w:proofErr w:type="spellStart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Tottman</w:t>
      </w:r>
      <w:proofErr w:type="spellEnd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 xml:space="preserve"> Supplies Corp., we at Dunn &amp; Associates are writing to inform you of an overdue payment owed to our client. According to the construction materials invoice agreed upon by you and our client, you owe $8,960 for materials plus delivery.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 xml:space="preserve">This payment is currently 60 days overdue which, consequently, will result in interest charges applied to the delivery charge. </w:t>
      </w:r>
      <w:proofErr w:type="spellStart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Tottman</w:t>
      </w:r>
      <w:proofErr w:type="spellEnd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 xml:space="preserve"> Supplies Corp. charges 1.5% interest per 30 days, which is a reasonable percentage for the inconvenience. Therefore, you will be charged an additional $268.80 for the 60 days currently overdue, bringing the total amount owing to $9,228.80.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This letter serves as the final warning for overdue payment. If payment is not made within 7 days, we will have no choice but to take immediate legal action. Please contact our firm at (212) 719-8589 if there are any questions regarding this demand.</w:t>
      </w:r>
    </w:p>
    <w:p w:rsidR="00B75655" w:rsidRPr="00660782" w:rsidRDefault="00B75655" w:rsidP="00B75655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 </w:t>
      </w:r>
    </w:p>
    <w:p w:rsidR="00B75655" w:rsidRPr="00660782" w:rsidRDefault="00B75655" w:rsidP="00B75655">
      <w:pPr>
        <w:shd w:val="clear" w:color="auto" w:fill="FFFFFF"/>
        <w:spacing w:after="240" w:line="240" w:lineRule="auto"/>
        <w:jc w:val="right"/>
        <w:rPr>
          <w:rFonts w:ascii="Century Gothic" w:eastAsia="Times New Roman" w:hAnsi="Century Gothic" w:cs="Arial"/>
          <w:color w:val="252525"/>
          <w:sz w:val="23"/>
          <w:szCs w:val="23"/>
        </w:rPr>
      </w:pP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Yours Truly</w:t>
      </w:r>
      <w:proofErr w:type="gramStart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t>,</w:t>
      </w:r>
      <w:proofErr w:type="gramEnd"/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Patrick J. Lloyd</w:t>
      </w:r>
      <w:r w:rsidRPr="00660782">
        <w:rPr>
          <w:rFonts w:ascii="Century Gothic" w:eastAsia="Times New Roman" w:hAnsi="Century Gothic" w:cs="Arial"/>
          <w:color w:val="252525"/>
          <w:sz w:val="23"/>
          <w:szCs w:val="23"/>
        </w:rPr>
        <w:br/>
        <w:t>Attorney | Dunn &amp; Associates</w:t>
      </w:r>
    </w:p>
    <w:p w:rsidR="003825E1" w:rsidRPr="00660782" w:rsidRDefault="003825E1">
      <w:pPr>
        <w:rPr>
          <w:rFonts w:ascii="Century Gothic" w:hAnsi="Century Gothic"/>
        </w:rPr>
      </w:pPr>
    </w:p>
    <w:sectPr w:rsidR="003825E1" w:rsidRPr="00660782" w:rsidSect="0038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655"/>
    <w:rsid w:val="001E510A"/>
    <w:rsid w:val="003825E1"/>
    <w:rsid w:val="00660782"/>
    <w:rsid w:val="00B7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E1"/>
  </w:style>
  <w:style w:type="paragraph" w:styleId="Heading1">
    <w:name w:val="heading 1"/>
    <w:basedOn w:val="Normal"/>
    <w:link w:val="Heading1Char"/>
    <w:uiPriority w:val="9"/>
    <w:qFormat/>
    <w:rsid w:val="00B75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75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2021-02-07T10:28:00Z</dcterms:created>
  <dcterms:modified xsi:type="dcterms:W3CDTF">2021-02-12T15:08:00Z</dcterms:modified>
</cp:coreProperties>
</file>