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A1" w:rsidRPr="00BD2CA1" w:rsidRDefault="00BD2CA1" w:rsidP="00BD2CA1">
      <w:pPr>
        <w:shd w:val="clear" w:color="auto" w:fill="FFFFFF"/>
        <w:spacing w:before="144" w:after="0" w:line="240" w:lineRule="auto"/>
        <w:jc w:val="center"/>
        <w:rPr>
          <w:rFonts w:ascii="Century Gothic" w:eastAsia="Times New Roman" w:hAnsi="Century Gothic" w:cs="Times New Roman"/>
          <w:color w:val="000000"/>
          <w:sz w:val="44"/>
          <w:szCs w:val="27"/>
        </w:rPr>
      </w:pPr>
      <w:r w:rsidRPr="00BD2CA1">
        <w:rPr>
          <w:rFonts w:ascii="Century Gothic" w:eastAsia="Times New Roman" w:hAnsi="Century Gothic" w:cs="Times New Roman"/>
          <w:b/>
          <w:bCs/>
          <w:color w:val="000000"/>
          <w:sz w:val="36"/>
          <w:szCs w:val="20"/>
        </w:rPr>
        <w:t>DEBT SETTLEMENT AGREEMENT</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 xml:space="preserve">DEBT SETTLEMENT AGREEMENT (this “Agreement”), dated as of February 27, 2008, by and among Lithium Technology Corporation (“LTC”), GAIA </w:t>
      </w:r>
      <w:proofErr w:type="spellStart"/>
      <w:r w:rsidRPr="00BD2CA1">
        <w:rPr>
          <w:rFonts w:ascii="Century Gothic" w:eastAsia="Times New Roman" w:hAnsi="Century Gothic" w:cs="Times New Roman"/>
          <w:color w:val="000000"/>
          <w:sz w:val="20"/>
          <w:szCs w:val="20"/>
        </w:rPr>
        <w:t>Akkumulatorenwerke</w:t>
      </w:r>
      <w:proofErr w:type="spellEnd"/>
      <w:r w:rsidRPr="00BD2CA1">
        <w:rPr>
          <w:rFonts w:ascii="Century Gothic" w:eastAsia="Times New Roman" w:hAnsi="Century Gothic" w:cs="Times New Roman"/>
          <w:color w:val="000000"/>
          <w:sz w:val="20"/>
          <w:szCs w:val="20"/>
        </w:rPr>
        <w:t xml:space="preserve"> GmbH (“GAIA”), Arch Hill Ventures N.V., Arch Hill Real Estate N.V. and Arch Hill Capital N.V.</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WHEREAS:</w:t>
      </w:r>
    </w:p>
    <w:p w:rsidR="00BD2CA1" w:rsidRPr="00BD2CA1" w:rsidRDefault="00BD2CA1" w:rsidP="00BD2CA1">
      <w:pPr>
        <w:shd w:val="clear" w:color="auto" w:fill="FFFFFF"/>
        <w:spacing w:before="72"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Arch Hill Capital N.V., Arch Hill Ventures N.V. and Arch Hill Real Estate N.V. (collectively, the “</w:t>
      </w:r>
      <w:proofErr w:type="spellStart"/>
      <w:r w:rsidRPr="00BD2CA1">
        <w:rPr>
          <w:rFonts w:ascii="Century Gothic" w:eastAsia="Times New Roman" w:hAnsi="Century Gothic" w:cs="Times New Roman"/>
          <w:color w:val="000000"/>
          <w:sz w:val="20"/>
          <w:szCs w:val="20"/>
        </w:rPr>
        <w:t>Debtholders</w:t>
      </w:r>
      <w:proofErr w:type="spellEnd"/>
      <w:r w:rsidRPr="00BD2CA1">
        <w:rPr>
          <w:rFonts w:ascii="Century Gothic" w:eastAsia="Times New Roman" w:hAnsi="Century Gothic" w:cs="Times New Roman"/>
          <w:color w:val="000000"/>
          <w:sz w:val="20"/>
          <w:szCs w:val="20"/>
        </w:rPr>
        <w:t>”) are owed by LTC and GAIA (collectively, the “Debtors”) amounts set forth on Schedule I to this Agreement (collectively, the “Debt”); and</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B. </w:t>
      </w:r>
      <w:r w:rsidRPr="00BD2CA1">
        <w:rPr>
          <w:rFonts w:ascii="Century Gothic" w:eastAsia="Times New Roman" w:hAnsi="Century Gothic" w:cs="Times New Roman"/>
          <w:color w:val="000000"/>
          <w:sz w:val="20"/>
          <w:szCs w:val="20"/>
        </w:rPr>
        <w:t>The parties desire LTC to issue to Arch Hill Capital, upon the terms and conditions set forth in this Agreement, the number of shares of LTC Common Stock in settlement of the Debt (the “Shares”) set forth on Schedule I to this Agreement (the “Debt Settlement”).</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NOW, THEREFORE</w:t>
      </w:r>
      <w:r w:rsidRPr="00BD2CA1">
        <w:rPr>
          <w:rFonts w:ascii="Century Gothic" w:eastAsia="Times New Roman" w:hAnsi="Century Gothic" w:cs="Times New Roman"/>
          <w:color w:val="000000"/>
          <w:sz w:val="20"/>
          <w:szCs w:val="20"/>
        </w:rPr>
        <w:t>, in consideration of these premises and the mutual agreements contained in this Agreement, the parties hereto agree as follows:</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1. </w:t>
      </w:r>
      <w:r w:rsidRPr="00BD2CA1">
        <w:rPr>
          <w:rFonts w:ascii="Century Gothic" w:eastAsia="Times New Roman" w:hAnsi="Century Gothic" w:cs="Times New Roman"/>
          <w:b/>
          <w:bCs/>
          <w:color w:val="000000"/>
          <w:sz w:val="20"/>
          <w:szCs w:val="20"/>
          <w:u w:val="single"/>
        </w:rPr>
        <w:t>SETTLEMENT OF DEBT</w:t>
      </w:r>
    </w:p>
    <w:p w:rsidR="00BD2CA1" w:rsidRPr="00BD2CA1" w:rsidRDefault="00BD2CA1" w:rsidP="00BD2CA1">
      <w:pPr>
        <w:shd w:val="clear" w:color="auto" w:fill="FFFFFF"/>
        <w:spacing w:before="72"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a. </w:t>
      </w:r>
      <w:r w:rsidRPr="00BD2CA1">
        <w:rPr>
          <w:rFonts w:ascii="Century Gothic" w:eastAsia="Times New Roman" w:hAnsi="Century Gothic" w:cs="Times New Roman"/>
          <w:b/>
          <w:bCs/>
          <w:color w:val="000000"/>
          <w:sz w:val="20"/>
          <w:szCs w:val="20"/>
          <w:u w:val="single"/>
        </w:rPr>
        <w:t>Settlement of Debt</w:t>
      </w:r>
      <w:r w:rsidRPr="00BD2CA1">
        <w:rPr>
          <w:rFonts w:ascii="Century Gothic" w:eastAsia="Times New Roman" w:hAnsi="Century Gothic" w:cs="Times New Roman"/>
          <w:color w:val="000000"/>
          <w:sz w:val="20"/>
          <w:szCs w:val="20"/>
        </w:rPr>
        <w:t>. LTC shall issue to Arch Hill Capital and Arch Hill Capital shall acquire from LTC the Shares in full and complete settlement of the Debt.</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b. </w:t>
      </w:r>
      <w:r w:rsidRPr="00BD2CA1">
        <w:rPr>
          <w:rFonts w:ascii="Century Gothic" w:eastAsia="Times New Roman" w:hAnsi="Century Gothic" w:cs="Times New Roman"/>
          <w:b/>
          <w:bCs/>
          <w:color w:val="000000"/>
          <w:sz w:val="20"/>
          <w:szCs w:val="20"/>
          <w:u w:val="single"/>
        </w:rPr>
        <w:t>Closing</w:t>
      </w:r>
      <w:r w:rsidRPr="00BD2CA1">
        <w:rPr>
          <w:rFonts w:ascii="Century Gothic" w:eastAsia="Times New Roman" w:hAnsi="Century Gothic" w:cs="Times New Roman"/>
          <w:color w:val="000000"/>
          <w:sz w:val="20"/>
          <w:szCs w:val="20"/>
        </w:rPr>
        <w:t>. The date and time of the closing (the “Closing”) of the transactions under this Agreement (the “Closing Date”) shall be on a mutually agreed upon time. The parties acknowledge that the Board of Directors of LTC has adopted resolutions approving the issuance of Shares for the settlement of up to $5,000,000 of Debt and that the Closing of the issuance of Shares for the amount of Debt in excess of $5 million shall be conditioned on the approval of the Board of Directors of LTC of such issuance (the “Share Authorization”). The parties further acknowledge that LTC does not currently have available from its authorized but unissued shares of Common Stock enough shares to issue all of the Shares to Arch Hill Capital however LTC agrees to conduct a meeting of its Board of Directors and shareholders to increase the authorized Common Stock once LTC’s periodic filings required under the Securities Exchange Act of 1934, as amended (the “1934 Act”) are up to date (the “Share Authorization”). The parties further acknowledge that LTC’s filings under the 1934 Act are not current and that the latest audited financial information of LTC on file under the 1934 Act is for the year ended December 31, 2006.</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c. </w:t>
      </w:r>
      <w:r w:rsidRPr="00BD2CA1">
        <w:rPr>
          <w:rFonts w:ascii="Century Gothic" w:eastAsia="Times New Roman" w:hAnsi="Century Gothic" w:cs="Times New Roman"/>
          <w:b/>
          <w:bCs/>
          <w:color w:val="000000"/>
          <w:sz w:val="20"/>
          <w:szCs w:val="20"/>
          <w:u w:val="single"/>
        </w:rPr>
        <w:t>Securities Act Exemption</w:t>
      </w:r>
      <w:r w:rsidRPr="00BD2CA1">
        <w:rPr>
          <w:rFonts w:ascii="Century Gothic" w:eastAsia="Times New Roman" w:hAnsi="Century Gothic" w:cs="Times New Roman"/>
          <w:color w:val="000000"/>
          <w:sz w:val="20"/>
          <w:szCs w:val="20"/>
        </w:rPr>
        <w:t>. The parties are executing and delivering this Agreement in reliance upon the exemption from securities registration afforded by the rules and regulations as promulgated by the United States Securities and Exchange Commission (the “SEC”) under the Securities Act of 1933, as amended (the “1933 Act”).</w:t>
      </w:r>
    </w:p>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15"/>
          <w:szCs w:val="15"/>
        </w:rPr>
        <w:t> </w:t>
      </w:r>
    </w:p>
    <w:p w:rsidR="00BD2CA1" w:rsidRPr="00BD2CA1" w:rsidRDefault="00BD2CA1" w:rsidP="00BD2CA1">
      <w:pPr>
        <w:shd w:val="clear" w:color="auto" w:fill="FFFFFF"/>
        <w:spacing w:after="0" w:line="240" w:lineRule="auto"/>
        <w:jc w:val="center"/>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4</w:t>
      </w:r>
    </w:p>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4"/>
          <w:szCs w:val="24"/>
        </w:rPr>
        <w:pict>
          <v:rect id="_x0000_i1025" style="width:468pt;height:2.25pt" o:hralign="center" o:hrstd="t" o:hrnoshade="t" o:hr="t" fillcolor="black" stroked="f"/>
        </w:pict>
      </w:r>
    </w:p>
    <w:p w:rsidR="00BD2CA1" w:rsidRPr="00BD2CA1" w:rsidRDefault="00BD2CA1" w:rsidP="00BD2CA1">
      <w:pPr>
        <w:shd w:val="clear" w:color="auto" w:fill="FFFFFF"/>
        <w:spacing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2. </w:t>
      </w:r>
      <w:r w:rsidRPr="00BD2CA1">
        <w:rPr>
          <w:rFonts w:ascii="Century Gothic" w:eastAsia="Times New Roman" w:hAnsi="Century Gothic" w:cs="Times New Roman"/>
          <w:b/>
          <w:bCs/>
          <w:color w:val="000000"/>
          <w:sz w:val="20"/>
          <w:szCs w:val="20"/>
          <w:u w:val="single"/>
        </w:rPr>
        <w:t>REPRESENTATIONS AND WARRANTIES OF THE DEBTHOLDERS</w:t>
      </w:r>
      <w:r w:rsidRPr="00BD2CA1">
        <w:rPr>
          <w:rFonts w:ascii="Century Gothic" w:eastAsia="Times New Roman" w:hAnsi="Century Gothic" w:cs="Times New Roman"/>
          <w:color w:val="000000"/>
          <w:sz w:val="20"/>
          <w:szCs w:val="20"/>
        </w:rPr>
        <w:t xml:space="preserve">. Each </w:t>
      </w:r>
      <w:proofErr w:type="spellStart"/>
      <w:r w:rsidRPr="00BD2CA1">
        <w:rPr>
          <w:rFonts w:ascii="Century Gothic" w:eastAsia="Times New Roman" w:hAnsi="Century Gothic" w:cs="Times New Roman"/>
          <w:color w:val="000000"/>
          <w:sz w:val="20"/>
          <w:szCs w:val="20"/>
        </w:rPr>
        <w:t>Debtholder</w:t>
      </w:r>
      <w:proofErr w:type="spellEnd"/>
      <w:r w:rsidRPr="00BD2CA1">
        <w:rPr>
          <w:rFonts w:ascii="Century Gothic" w:eastAsia="Times New Roman" w:hAnsi="Century Gothic" w:cs="Times New Roman"/>
          <w:color w:val="000000"/>
          <w:sz w:val="20"/>
          <w:szCs w:val="20"/>
        </w:rPr>
        <w:t xml:space="preserve"> severally (and not jointly) represents and warrants to LTC solely as to that </w:t>
      </w:r>
      <w:proofErr w:type="spellStart"/>
      <w:r w:rsidRPr="00BD2CA1">
        <w:rPr>
          <w:rFonts w:ascii="Century Gothic" w:eastAsia="Times New Roman" w:hAnsi="Century Gothic" w:cs="Times New Roman"/>
          <w:color w:val="000000"/>
          <w:sz w:val="20"/>
          <w:szCs w:val="20"/>
        </w:rPr>
        <w:t>Debtholder</w:t>
      </w:r>
      <w:proofErr w:type="spellEnd"/>
      <w:r w:rsidRPr="00BD2CA1">
        <w:rPr>
          <w:rFonts w:ascii="Century Gothic" w:eastAsia="Times New Roman" w:hAnsi="Century Gothic" w:cs="Times New Roman"/>
          <w:color w:val="000000"/>
          <w:sz w:val="20"/>
          <w:szCs w:val="20"/>
        </w:rPr>
        <w:t xml:space="preserve"> that:</w:t>
      </w:r>
    </w:p>
    <w:p w:rsidR="00BD2CA1" w:rsidRPr="00BD2CA1" w:rsidRDefault="00BD2CA1" w:rsidP="00BD2CA1">
      <w:pPr>
        <w:shd w:val="clear" w:color="auto" w:fill="FFFFFF"/>
        <w:spacing w:before="72"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a. </w:t>
      </w:r>
      <w:r w:rsidRPr="00BD2CA1">
        <w:rPr>
          <w:rFonts w:ascii="Century Gothic" w:eastAsia="Times New Roman" w:hAnsi="Century Gothic" w:cs="Times New Roman"/>
          <w:b/>
          <w:bCs/>
          <w:color w:val="000000"/>
          <w:sz w:val="20"/>
          <w:szCs w:val="20"/>
          <w:u w:val="single"/>
        </w:rPr>
        <w:t>Authorization; Enforcement</w:t>
      </w:r>
      <w:r w:rsidRPr="00BD2CA1">
        <w:rPr>
          <w:rFonts w:ascii="Century Gothic" w:eastAsia="Times New Roman" w:hAnsi="Century Gothic" w:cs="Times New Roman"/>
          <w:color w:val="000000"/>
          <w:sz w:val="20"/>
          <w:szCs w:val="20"/>
        </w:rPr>
        <w:t xml:space="preserve">. This Agreement has been duly and validly authorized by the </w:t>
      </w:r>
      <w:proofErr w:type="spellStart"/>
      <w:r w:rsidRPr="00BD2CA1">
        <w:rPr>
          <w:rFonts w:ascii="Century Gothic" w:eastAsia="Times New Roman" w:hAnsi="Century Gothic" w:cs="Times New Roman"/>
          <w:color w:val="000000"/>
          <w:sz w:val="20"/>
          <w:szCs w:val="20"/>
        </w:rPr>
        <w:t>Debtholder</w:t>
      </w:r>
      <w:proofErr w:type="spellEnd"/>
      <w:r w:rsidRPr="00BD2CA1">
        <w:rPr>
          <w:rFonts w:ascii="Century Gothic" w:eastAsia="Times New Roman" w:hAnsi="Century Gothic" w:cs="Times New Roman"/>
          <w:color w:val="000000"/>
          <w:sz w:val="20"/>
          <w:szCs w:val="20"/>
        </w:rPr>
        <w:t xml:space="preserve">. This Agreement has been duly executed and delivered on behalf of </w:t>
      </w:r>
      <w:proofErr w:type="spellStart"/>
      <w:r w:rsidRPr="00BD2CA1">
        <w:rPr>
          <w:rFonts w:ascii="Century Gothic" w:eastAsia="Times New Roman" w:hAnsi="Century Gothic" w:cs="Times New Roman"/>
          <w:color w:val="000000"/>
          <w:sz w:val="20"/>
          <w:szCs w:val="20"/>
        </w:rPr>
        <w:t>Debtholder</w:t>
      </w:r>
      <w:proofErr w:type="spellEnd"/>
      <w:r w:rsidRPr="00BD2CA1">
        <w:rPr>
          <w:rFonts w:ascii="Century Gothic" w:eastAsia="Times New Roman" w:hAnsi="Century Gothic" w:cs="Times New Roman"/>
          <w:color w:val="000000"/>
          <w:sz w:val="20"/>
          <w:szCs w:val="20"/>
        </w:rPr>
        <w:t xml:space="preserve">, and this Agreement constitutes valid and binding agreement of </w:t>
      </w:r>
      <w:proofErr w:type="spellStart"/>
      <w:r w:rsidRPr="00BD2CA1">
        <w:rPr>
          <w:rFonts w:ascii="Century Gothic" w:eastAsia="Times New Roman" w:hAnsi="Century Gothic" w:cs="Times New Roman"/>
          <w:color w:val="000000"/>
          <w:sz w:val="20"/>
          <w:szCs w:val="20"/>
        </w:rPr>
        <w:t>Debtholder</w:t>
      </w:r>
      <w:proofErr w:type="spellEnd"/>
      <w:r w:rsidRPr="00BD2CA1">
        <w:rPr>
          <w:rFonts w:ascii="Century Gothic" w:eastAsia="Times New Roman" w:hAnsi="Century Gothic" w:cs="Times New Roman"/>
          <w:color w:val="000000"/>
          <w:sz w:val="20"/>
          <w:szCs w:val="20"/>
        </w:rPr>
        <w:t xml:space="preserve"> enforceable in accordance with its terms.</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3. </w:t>
      </w:r>
      <w:r w:rsidRPr="00BD2CA1">
        <w:rPr>
          <w:rFonts w:ascii="Century Gothic" w:eastAsia="Times New Roman" w:hAnsi="Century Gothic" w:cs="Times New Roman"/>
          <w:b/>
          <w:bCs/>
          <w:color w:val="000000"/>
          <w:sz w:val="20"/>
          <w:szCs w:val="20"/>
          <w:u w:val="single"/>
        </w:rPr>
        <w:t>INVESTMENT REPRESENTATIONS OF ARCH HILL CAPITAL</w:t>
      </w:r>
      <w:r w:rsidRPr="00BD2CA1">
        <w:rPr>
          <w:rFonts w:ascii="Century Gothic" w:eastAsia="Times New Roman" w:hAnsi="Century Gothic" w:cs="Times New Roman"/>
          <w:color w:val="000000"/>
          <w:sz w:val="20"/>
          <w:szCs w:val="20"/>
        </w:rPr>
        <w:t>. Arch Hill Capital represents and warrants that:</w:t>
      </w:r>
    </w:p>
    <w:p w:rsidR="00BD2CA1" w:rsidRPr="00BD2CA1" w:rsidRDefault="00BD2CA1" w:rsidP="00BD2CA1">
      <w:pPr>
        <w:shd w:val="clear" w:color="auto" w:fill="FFFFFF"/>
        <w:spacing w:before="72"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lastRenderedPageBreak/>
        <w:t>a. </w:t>
      </w:r>
      <w:r w:rsidRPr="00BD2CA1">
        <w:rPr>
          <w:rFonts w:ascii="Century Gothic" w:eastAsia="Times New Roman" w:hAnsi="Century Gothic" w:cs="Times New Roman"/>
          <w:b/>
          <w:bCs/>
          <w:color w:val="000000"/>
          <w:sz w:val="20"/>
          <w:szCs w:val="20"/>
          <w:u w:val="single"/>
        </w:rPr>
        <w:t>Investment Purpose</w:t>
      </w:r>
      <w:r w:rsidRPr="00BD2CA1">
        <w:rPr>
          <w:rFonts w:ascii="Century Gothic" w:eastAsia="Times New Roman" w:hAnsi="Century Gothic" w:cs="Times New Roman"/>
          <w:color w:val="000000"/>
          <w:sz w:val="20"/>
          <w:szCs w:val="20"/>
        </w:rPr>
        <w:t>. Arch Hill Capital is acquiring the Shares for its own account and not with a present view towards the public sale or distribution thereof, except pursuant to sales registered or exempted from registration under the 1933 Act.</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b. </w:t>
      </w:r>
      <w:r w:rsidRPr="00BD2CA1">
        <w:rPr>
          <w:rFonts w:ascii="Century Gothic" w:eastAsia="Times New Roman" w:hAnsi="Century Gothic" w:cs="Times New Roman"/>
          <w:b/>
          <w:bCs/>
          <w:color w:val="000000"/>
          <w:sz w:val="20"/>
          <w:szCs w:val="20"/>
          <w:u w:val="single"/>
        </w:rPr>
        <w:t>Accredited Investor Status</w:t>
      </w:r>
      <w:r w:rsidRPr="00BD2CA1">
        <w:rPr>
          <w:rFonts w:ascii="Century Gothic" w:eastAsia="Times New Roman" w:hAnsi="Century Gothic" w:cs="Times New Roman"/>
          <w:color w:val="000000"/>
          <w:sz w:val="20"/>
          <w:szCs w:val="20"/>
        </w:rPr>
        <w:t>. Arch Hill Capital is an “accredited investor” as that term is defined in Rule 501(a) of Regulation D (an “Accredited Investor”).</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c. </w:t>
      </w:r>
      <w:r w:rsidRPr="00BD2CA1">
        <w:rPr>
          <w:rFonts w:ascii="Century Gothic" w:eastAsia="Times New Roman" w:hAnsi="Century Gothic" w:cs="Times New Roman"/>
          <w:b/>
          <w:bCs/>
          <w:color w:val="000000"/>
          <w:sz w:val="20"/>
          <w:szCs w:val="20"/>
          <w:u w:val="single"/>
        </w:rPr>
        <w:t>Reliance on Exemptions</w:t>
      </w:r>
      <w:r w:rsidRPr="00BD2CA1">
        <w:rPr>
          <w:rFonts w:ascii="Century Gothic" w:eastAsia="Times New Roman" w:hAnsi="Century Gothic" w:cs="Times New Roman"/>
          <w:color w:val="000000"/>
          <w:sz w:val="20"/>
          <w:szCs w:val="20"/>
        </w:rPr>
        <w:t>. Arch Hill Capital understands that the Shares are being offered and sold to it in reliance upon specific exemptions from the registration requirements of United States federal securities laws and that LTC is relying upon the truth and accuracy of, and Arch Hill Capital’s compliance with, the representations, warranties, agreements, acknowledgments and understandings of Arch Hill Capital set forth herein in order to determine the availability of such exemptions and the eligibility of Arch Hill Capital to acquire the Shares.</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d. </w:t>
      </w:r>
      <w:r w:rsidRPr="00BD2CA1">
        <w:rPr>
          <w:rFonts w:ascii="Century Gothic" w:eastAsia="Times New Roman" w:hAnsi="Century Gothic" w:cs="Times New Roman"/>
          <w:b/>
          <w:bCs/>
          <w:color w:val="000000"/>
          <w:sz w:val="20"/>
          <w:szCs w:val="20"/>
          <w:u w:val="single"/>
        </w:rPr>
        <w:t>Transfer or Re-sale</w:t>
      </w:r>
      <w:r w:rsidRPr="00BD2CA1">
        <w:rPr>
          <w:rFonts w:ascii="Century Gothic" w:eastAsia="Times New Roman" w:hAnsi="Century Gothic" w:cs="Times New Roman"/>
          <w:color w:val="000000"/>
          <w:sz w:val="20"/>
          <w:szCs w:val="20"/>
        </w:rPr>
        <w:t>. Arch Hill Capital understands that except as provided herein, the sale or re-sale of the Shares has not been and is not being registered under the 1933 Act, and the Shares may not be transferred unless the Shares are sold pursuant to an effective registration statement under the 1933 Act or an exemption from registration.</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e. </w:t>
      </w:r>
      <w:r w:rsidRPr="00BD2CA1">
        <w:rPr>
          <w:rFonts w:ascii="Century Gothic" w:eastAsia="Times New Roman" w:hAnsi="Century Gothic" w:cs="Times New Roman"/>
          <w:b/>
          <w:bCs/>
          <w:color w:val="000000"/>
          <w:sz w:val="20"/>
          <w:szCs w:val="20"/>
          <w:u w:val="single"/>
        </w:rPr>
        <w:t>Legends</w:t>
      </w:r>
      <w:r w:rsidRPr="00BD2CA1">
        <w:rPr>
          <w:rFonts w:ascii="Century Gothic" w:eastAsia="Times New Roman" w:hAnsi="Century Gothic" w:cs="Times New Roman"/>
          <w:color w:val="000000"/>
          <w:sz w:val="20"/>
          <w:szCs w:val="20"/>
        </w:rPr>
        <w:t>. Arch Hill Capital understands that the Shares will bear a restrictive legend in substantially the following form (and a stop-transfer order may be placed against transfer of the certificates for such Shares):</w:t>
      </w:r>
    </w:p>
    <w:p w:rsidR="00BD2CA1" w:rsidRPr="00BD2CA1" w:rsidRDefault="00BD2CA1" w:rsidP="00BD2CA1">
      <w:pPr>
        <w:shd w:val="clear" w:color="auto" w:fill="FFFFFF"/>
        <w:spacing w:before="72" w:after="0" w:line="240" w:lineRule="auto"/>
        <w:ind w:left="1546"/>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“The securities represented by this certificate have not been registered under the Securities Act of 1933, as amended. The securities may not be sold, transferred or assigned in the absence of an effective registration statement for the securities under said Act, or an opinion of counsel, in form, substance and scope customary for opinions of counsel in comparable transactions, that registration is not required under said Act or unless sold pursuant to Rule 144 or Regulation S under said Act.”</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f. </w:t>
      </w:r>
      <w:r w:rsidRPr="00BD2CA1">
        <w:rPr>
          <w:rFonts w:ascii="Century Gothic" w:eastAsia="Times New Roman" w:hAnsi="Century Gothic" w:cs="Times New Roman"/>
          <w:b/>
          <w:bCs/>
          <w:color w:val="000000"/>
          <w:sz w:val="20"/>
          <w:szCs w:val="20"/>
          <w:u w:val="single"/>
        </w:rPr>
        <w:t>Residency</w:t>
      </w:r>
      <w:r w:rsidRPr="00BD2CA1">
        <w:rPr>
          <w:rFonts w:ascii="Century Gothic" w:eastAsia="Times New Roman" w:hAnsi="Century Gothic" w:cs="Times New Roman"/>
          <w:color w:val="000000"/>
          <w:sz w:val="20"/>
          <w:szCs w:val="20"/>
        </w:rPr>
        <w:t>. Arch Hill Capital is a resident of the Netherlands.</w:t>
      </w:r>
    </w:p>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15"/>
          <w:szCs w:val="15"/>
        </w:rPr>
        <w:t> </w:t>
      </w:r>
    </w:p>
    <w:p w:rsidR="00BD2CA1" w:rsidRPr="00BD2CA1" w:rsidRDefault="00BD2CA1" w:rsidP="00BD2CA1">
      <w:pPr>
        <w:shd w:val="clear" w:color="auto" w:fill="FFFFFF"/>
        <w:spacing w:after="0" w:line="240" w:lineRule="auto"/>
        <w:jc w:val="center"/>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5</w:t>
      </w:r>
    </w:p>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4"/>
          <w:szCs w:val="24"/>
        </w:rPr>
        <w:pict>
          <v:rect id="_x0000_i1026" style="width:468pt;height:2.25pt" o:hralign="center" o:hrstd="t" o:hrnoshade="t" o:hr="t" fillcolor="black" stroked="f"/>
        </w:pict>
      </w:r>
    </w:p>
    <w:p w:rsidR="00BD2CA1" w:rsidRPr="00BD2CA1" w:rsidRDefault="00BD2CA1" w:rsidP="00BD2CA1">
      <w:pPr>
        <w:shd w:val="clear" w:color="auto" w:fill="FFFFFF"/>
        <w:spacing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4. </w:t>
      </w:r>
      <w:r w:rsidRPr="00BD2CA1">
        <w:rPr>
          <w:rFonts w:ascii="Century Gothic" w:eastAsia="Times New Roman" w:hAnsi="Century Gothic" w:cs="Times New Roman"/>
          <w:b/>
          <w:bCs/>
          <w:color w:val="000000"/>
          <w:sz w:val="20"/>
          <w:szCs w:val="20"/>
          <w:u w:val="single"/>
        </w:rPr>
        <w:t>REPRESENTATIONS AND WARRANTIES OF LTC</w:t>
      </w:r>
      <w:r w:rsidRPr="00BD2CA1">
        <w:rPr>
          <w:rFonts w:ascii="Century Gothic" w:eastAsia="Times New Roman" w:hAnsi="Century Gothic" w:cs="Times New Roman"/>
          <w:color w:val="000000"/>
          <w:sz w:val="20"/>
          <w:szCs w:val="20"/>
        </w:rPr>
        <w:t xml:space="preserve">. LTC represents and warrants to each </w:t>
      </w:r>
      <w:proofErr w:type="spellStart"/>
      <w:r w:rsidRPr="00BD2CA1">
        <w:rPr>
          <w:rFonts w:ascii="Century Gothic" w:eastAsia="Times New Roman" w:hAnsi="Century Gothic" w:cs="Times New Roman"/>
          <w:color w:val="000000"/>
          <w:sz w:val="20"/>
          <w:szCs w:val="20"/>
        </w:rPr>
        <w:t>Debtholder</w:t>
      </w:r>
      <w:proofErr w:type="spellEnd"/>
      <w:r w:rsidRPr="00BD2CA1">
        <w:rPr>
          <w:rFonts w:ascii="Century Gothic" w:eastAsia="Times New Roman" w:hAnsi="Century Gothic" w:cs="Times New Roman"/>
          <w:color w:val="000000"/>
          <w:sz w:val="20"/>
          <w:szCs w:val="20"/>
        </w:rPr>
        <w:t xml:space="preserve"> that:</w:t>
      </w:r>
    </w:p>
    <w:p w:rsidR="00BD2CA1" w:rsidRPr="00BD2CA1" w:rsidRDefault="00BD2CA1" w:rsidP="00BD2CA1">
      <w:pPr>
        <w:shd w:val="clear" w:color="auto" w:fill="FFFFFF"/>
        <w:spacing w:before="72"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a. </w:t>
      </w:r>
      <w:r w:rsidRPr="00BD2CA1">
        <w:rPr>
          <w:rFonts w:ascii="Century Gothic" w:eastAsia="Times New Roman" w:hAnsi="Century Gothic" w:cs="Times New Roman"/>
          <w:b/>
          <w:bCs/>
          <w:color w:val="000000"/>
          <w:sz w:val="20"/>
          <w:szCs w:val="20"/>
          <w:u w:val="single"/>
        </w:rPr>
        <w:t>Authorization; Enforcement</w:t>
      </w:r>
      <w:r w:rsidRPr="00BD2CA1">
        <w:rPr>
          <w:rFonts w:ascii="Century Gothic" w:eastAsia="Times New Roman" w:hAnsi="Century Gothic" w:cs="Times New Roman"/>
          <w:color w:val="000000"/>
          <w:sz w:val="20"/>
          <w:szCs w:val="20"/>
        </w:rPr>
        <w:t>. Subject to the Board Approval Condition and the Share Authorization, (</w:t>
      </w:r>
      <w:proofErr w:type="spellStart"/>
      <w:r w:rsidRPr="00BD2CA1">
        <w:rPr>
          <w:rFonts w:ascii="Century Gothic" w:eastAsia="Times New Roman" w:hAnsi="Century Gothic" w:cs="Times New Roman"/>
          <w:color w:val="000000"/>
          <w:sz w:val="20"/>
          <w:szCs w:val="20"/>
        </w:rPr>
        <w:t>i</w:t>
      </w:r>
      <w:proofErr w:type="spellEnd"/>
      <w:r w:rsidRPr="00BD2CA1">
        <w:rPr>
          <w:rFonts w:ascii="Century Gothic" w:eastAsia="Times New Roman" w:hAnsi="Century Gothic" w:cs="Times New Roman"/>
          <w:color w:val="000000"/>
          <w:sz w:val="20"/>
          <w:szCs w:val="20"/>
        </w:rPr>
        <w:t>) LTC has all requisite corporate power and authority to enter into and perform this Agreement, and to consummate the transactions contemplated hereby and thereby and to issue the Shares, in accordance with the terms hereof and thereof, (ii) the execution and delivery of this Agreement and the consummation by it of the transactions contemplated hereby have been duly authorized by LTC’s Board of Directors and no further consent or authorization of LTC, its Board of Directors, or its shareholders is required, (iii) this Agreement has been duly executed and delivered by LTC by its authorized representative, and such authorized representative is the true and official representative with authority to sign this Agreement and the other documents executed in connection herewith and bind LTC accordingly, and (iv) this Agreement constitutes a legal, valid and binding obligation of LTC enforceable against LTC in accordance with its terms, except to the extent that enforceability may be limited by bankruptcy, insolvency or similar laws affecting creditors’ rights generally or by general principles of equity.</w:t>
      </w:r>
    </w:p>
    <w:p w:rsidR="00BD2CA1" w:rsidRPr="00BD2CA1" w:rsidRDefault="00BD2CA1" w:rsidP="00BD2CA1">
      <w:pPr>
        <w:shd w:val="clear" w:color="auto" w:fill="FFFFFF"/>
        <w:spacing w:before="144"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5. </w:t>
      </w:r>
      <w:r w:rsidRPr="00BD2CA1">
        <w:rPr>
          <w:rFonts w:ascii="Century Gothic" w:eastAsia="Times New Roman" w:hAnsi="Century Gothic" w:cs="Times New Roman"/>
          <w:b/>
          <w:bCs/>
          <w:color w:val="000000"/>
          <w:sz w:val="20"/>
          <w:szCs w:val="20"/>
          <w:u w:val="single"/>
        </w:rPr>
        <w:t>MISCELLANEOUS</w:t>
      </w:r>
      <w:r w:rsidRPr="00BD2CA1">
        <w:rPr>
          <w:rFonts w:ascii="Century Gothic" w:eastAsia="Times New Roman" w:hAnsi="Century Gothic" w:cs="Times New Roman"/>
          <w:color w:val="000000"/>
          <w:sz w:val="20"/>
          <w:szCs w:val="20"/>
        </w:rPr>
        <w:t>.</w:t>
      </w:r>
    </w:p>
    <w:p w:rsidR="00BD2CA1" w:rsidRPr="00BD2CA1" w:rsidRDefault="00BD2CA1" w:rsidP="00BD2CA1">
      <w:pPr>
        <w:shd w:val="clear" w:color="auto" w:fill="FFFFFF"/>
        <w:spacing w:before="72"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a. </w:t>
      </w:r>
      <w:r w:rsidRPr="00BD2CA1">
        <w:rPr>
          <w:rFonts w:ascii="Century Gothic" w:eastAsia="Times New Roman" w:hAnsi="Century Gothic" w:cs="Times New Roman"/>
          <w:b/>
          <w:bCs/>
          <w:color w:val="000000"/>
          <w:sz w:val="20"/>
          <w:szCs w:val="20"/>
          <w:u w:val="single"/>
        </w:rPr>
        <w:t>Lock-Up</w:t>
      </w:r>
      <w:r w:rsidRPr="00BD2CA1">
        <w:rPr>
          <w:rFonts w:ascii="Century Gothic" w:eastAsia="Times New Roman" w:hAnsi="Century Gothic" w:cs="Times New Roman"/>
          <w:color w:val="000000"/>
          <w:sz w:val="20"/>
          <w:szCs w:val="20"/>
        </w:rPr>
        <w:t xml:space="preserve">. Arch Hill Capital agrees that for a two year period commencing on the Closing Date it will not, directly or indirectly, without the prior written consent of LTC issue, offer, </w:t>
      </w:r>
      <w:r w:rsidRPr="00BD2CA1">
        <w:rPr>
          <w:rFonts w:ascii="Century Gothic" w:eastAsia="Times New Roman" w:hAnsi="Century Gothic" w:cs="Times New Roman"/>
          <w:color w:val="000000"/>
          <w:sz w:val="20"/>
          <w:szCs w:val="20"/>
        </w:rPr>
        <w:lastRenderedPageBreak/>
        <w:t>agree or offer to sell, sell, grant an option for the purchase or sale of, transfer, pledge, assign, hypothecate, distribute or otherwise encumber or dispose of the Shares.</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b. </w:t>
      </w:r>
      <w:r w:rsidRPr="00BD2CA1">
        <w:rPr>
          <w:rFonts w:ascii="Century Gothic" w:eastAsia="Times New Roman" w:hAnsi="Century Gothic" w:cs="Times New Roman"/>
          <w:b/>
          <w:bCs/>
          <w:color w:val="000000"/>
          <w:sz w:val="20"/>
          <w:szCs w:val="20"/>
          <w:u w:val="single"/>
        </w:rPr>
        <w:t>Governing Law</w:t>
      </w:r>
      <w:r w:rsidRPr="00BD2CA1">
        <w:rPr>
          <w:rFonts w:ascii="Century Gothic" w:eastAsia="Times New Roman" w:hAnsi="Century Gothic" w:cs="Times New Roman"/>
          <w:color w:val="000000"/>
          <w:sz w:val="20"/>
          <w:szCs w:val="20"/>
        </w:rPr>
        <w:t>. THIS AGREEMENT SHALL BE ENFORCED, GOVERNED BY AND CONSTRUED IN ACCORDANCE WITH THE LAWS OF THE STATE OF NEW YORK APPLICABLE TO AGREEMENTS MADE AND TO BE PERFORMED ENTIRELY WITHIN SUCH STATE, WITHOUT REGARD TO THE PRINCIPLES OF CONFLICT OF LAWS. THE PARTIES HERETO HEREBY SUBMIT TO THE EXCLUSIVE JURISDICTION OF THE UNITED STATES FEDERAL COURTS LOCATED IN NEW YORK, NEW YORK WITH RESPECT TO ANY DISPUTE ARISING UNDER THIS AGREEMENT, THE AGREEMENTS ENTERED INTO IN CONNECTION HEREWITH OR THE TRANSACTIONS CONTEMPLATED HEREBY OR THEREBY. BOTH PARTIES IRREVOCABLY WAIVE THE DEFENSE OF AN INCONVENIENT FORUM TO THE MAINTENANCE OF SUCH SUIT OR PROCEEDING. BOTH PARTIES FURTHER AGREE THAT SERVICE OF PROCESS UPON A PARTY MAILED BY FIRST CLASS MAIL SHALL BE DEEMED IN EVERY RESPECT EFFECTIVE SERVICE OF PROCESS UPON THE PARTY IN ANY SUCH SUIT OR PROCEEDING. NOTHING HEREIN SHALL AFFECT EITHER PARTY’S RIGHT TO SERVE PROCESS IN ANY OTHER MANNER PERMITTED BY LAW. BOTH PARTIES AGREE THAT A FINAL NON-APPEALABLE JUDGMENT IN ANY SUCH SUIT OR PROCEEDING SHALL BE CONCLUSIVE AND MAY BE ENFORCED IN OTHER JURISDICTIONS BY SUIT ON SUCH JUDGMENT OR IN ANY OTHER LAWFUL MANNER. THE PARTY WHICH DOES NOT PREVAIL IN ANY DISPUTE ARISING UNDER THIS AGREEMENT SHALL BE RESPONSIBLE FOR ALL FEES AND EXPENSES, INCLUDING ATTORNEYS’ FEES, INCURRED BY THE PREVAILING PARTY IN CONNECTION WITH SUCH DISPUTE.</w:t>
      </w:r>
    </w:p>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15"/>
          <w:szCs w:val="15"/>
        </w:rPr>
        <w:t> </w:t>
      </w:r>
    </w:p>
    <w:p w:rsidR="00BD2CA1" w:rsidRPr="00BD2CA1" w:rsidRDefault="00BD2CA1" w:rsidP="00BD2CA1">
      <w:pPr>
        <w:shd w:val="clear" w:color="auto" w:fill="FFFFFF"/>
        <w:spacing w:after="0" w:line="240" w:lineRule="auto"/>
        <w:jc w:val="center"/>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6</w:t>
      </w:r>
    </w:p>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4"/>
          <w:szCs w:val="24"/>
        </w:rPr>
        <w:pict>
          <v:rect id="_x0000_i1027" style="width:468pt;height:2.25pt" o:hralign="center" o:hrstd="t" o:hrnoshade="t" o:hr="t" fillcolor="black" stroked="f"/>
        </w:pict>
      </w:r>
    </w:p>
    <w:p w:rsidR="00BD2CA1" w:rsidRPr="00BD2CA1" w:rsidRDefault="00BD2CA1" w:rsidP="00BD2CA1">
      <w:pPr>
        <w:shd w:val="clear" w:color="auto" w:fill="FFFFFF"/>
        <w:spacing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c. </w:t>
      </w:r>
      <w:r w:rsidRPr="00BD2CA1">
        <w:rPr>
          <w:rFonts w:ascii="Century Gothic" w:eastAsia="Times New Roman" w:hAnsi="Century Gothic" w:cs="Times New Roman"/>
          <w:b/>
          <w:bCs/>
          <w:color w:val="000000"/>
          <w:sz w:val="20"/>
          <w:szCs w:val="20"/>
          <w:u w:val="single"/>
        </w:rPr>
        <w:t>Counterparts; Signatures by Facsimile</w:t>
      </w:r>
      <w:r w:rsidRPr="00BD2CA1">
        <w:rPr>
          <w:rFonts w:ascii="Century Gothic" w:eastAsia="Times New Roman" w:hAnsi="Century Gothic" w:cs="Times New Roman"/>
          <w:color w:val="000000"/>
          <w:sz w:val="20"/>
          <w:szCs w:val="20"/>
        </w:rPr>
        <w:t>. This Agreement may be executed in one or more counterparts, each of which shall be deemed an original but all of which shall constitute one and the same agreement and shall become effective when counterparts have been signed by each party and delivered to the other party. This Agreement, once executed by a party, may be delivered to the other party hereto by facsimile transmission of a copy of this Agreement bearing the signature of the party so delivering this Agreement.</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d. </w:t>
      </w:r>
      <w:r w:rsidRPr="00BD2CA1">
        <w:rPr>
          <w:rFonts w:ascii="Century Gothic" w:eastAsia="Times New Roman" w:hAnsi="Century Gothic" w:cs="Times New Roman"/>
          <w:b/>
          <w:bCs/>
          <w:color w:val="000000"/>
          <w:sz w:val="20"/>
          <w:szCs w:val="20"/>
          <w:u w:val="single"/>
        </w:rPr>
        <w:t>Headings</w:t>
      </w:r>
      <w:r w:rsidRPr="00BD2CA1">
        <w:rPr>
          <w:rFonts w:ascii="Century Gothic" w:eastAsia="Times New Roman" w:hAnsi="Century Gothic" w:cs="Times New Roman"/>
          <w:color w:val="000000"/>
          <w:sz w:val="20"/>
          <w:szCs w:val="20"/>
        </w:rPr>
        <w:t>. The headings of this Agreement are for convenience of reference only and shall not form part of, or affect the interpretation of, this Agreement.</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e. </w:t>
      </w:r>
      <w:r w:rsidRPr="00BD2CA1">
        <w:rPr>
          <w:rFonts w:ascii="Century Gothic" w:eastAsia="Times New Roman" w:hAnsi="Century Gothic" w:cs="Times New Roman"/>
          <w:b/>
          <w:bCs/>
          <w:color w:val="000000"/>
          <w:sz w:val="20"/>
          <w:szCs w:val="20"/>
          <w:u w:val="single"/>
        </w:rPr>
        <w:t>Severability</w:t>
      </w:r>
      <w:r w:rsidRPr="00BD2CA1">
        <w:rPr>
          <w:rFonts w:ascii="Century Gothic" w:eastAsia="Times New Roman" w:hAnsi="Century Gothic" w:cs="Times New Roman"/>
          <w:color w:val="000000"/>
          <w:sz w:val="20"/>
          <w:szCs w:val="20"/>
        </w:rPr>
        <w:t xml:space="preserve">. In the event that any provision of this Agreement is invalid or unenforceable under any applicable statute or rule of law, then such provision shall be deemed inoperative to the extent that it may conflict therewith and shall be deemed modified to conform </w:t>
      </w:r>
      <w:proofErr w:type="gramStart"/>
      <w:r w:rsidRPr="00BD2CA1">
        <w:rPr>
          <w:rFonts w:ascii="Century Gothic" w:eastAsia="Times New Roman" w:hAnsi="Century Gothic" w:cs="Times New Roman"/>
          <w:color w:val="000000"/>
          <w:sz w:val="20"/>
          <w:szCs w:val="20"/>
        </w:rPr>
        <w:t>with</w:t>
      </w:r>
      <w:proofErr w:type="gramEnd"/>
      <w:r w:rsidRPr="00BD2CA1">
        <w:rPr>
          <w:rFonts w:ascii="Century Gothic" w:eastAsia="Times New Roman" w:hAnsi="Century Gothic" w:cs="Times New Roman"/>
          <w:color w:val="000000"/>
          <w:sz w:val="20"/>
          <w:szCs w:val="20"/>
        </w:rPr>
        <w:t xml:space="preserve"> such statute or rule of law. Any provision hereof which may prove invalid or unenforceable under any law shall not affect the validity or enforceability of any other provision hereof.</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f. </w:t>
      </w:r>
      <w:r w:rsidRPr="00BD2CA1">
        <w:rPr>
          <w:rFonts w:ascii="Century Gothic" w:eastAsia="Times New Roman" w:hAnsi="Century Gothic" w:cs="Times New Roman"/>
          <w:b/>
          <w:bCs/>
          <w:color w:val="000000"/>
          <w:sz w:val="20"/>
          <w:szCs w:val="20"/>
          <w:u w:val="single"/>
        </w:rPr>
        <w:t>Entire Agreement; Amendments</w:t>
      </w:r>
      <w:r w:rsidRPr="00BD2CA1">
        <w:rPr>
          <w:rFonts w:ascii="Century Gothic" w:eastAsia="Times New Roman" w:hAnsi="Century Gothic" w:cs="Times New Roman"/>
          <w:color w:val="000000"/>
          <w:sz w:val="20"/>
          <w:szCs w:val="20"/>
        </w:rPr>
        <w:t>. This Agreement and the instruments referenced herein contain the entire understanding of the parties with respect to the matters covered herein and therein and, except as specifically set forth herein or therein, no party makes any representation, warranty, covenant or undertaking with respect to such matters. No provision of this Agreement may be waived or amended other than by an instrument in writing signed by the party to be charged with enforcement.</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g. </w:t>
      </w:r>
      <w:r w:rsidRPr="00BD2CA1">
        <w:rPr>
          <w:rFonts w:ascii="Century Gothic" w:eastAsia="Times New Roman" w:hAnsi="Century Gothic" w:cs="Times New Roman"/>
          <w:b/>
          <w:bCs/>
          <w:color w:val="000000"/>
          <w:sz w:val="20"/>
          <w:szCs w:val="20"/>
          <w:u w:val="single"/>
        </w:rPr>
        <w:t>Notices</w:t>
      </w:r>
      <w:r w:rsidRPr="00BD2CA1">
        <w:rPr>
          <w:rFonts w:ascii="Century Gothic" w:eastAsia="Times New Roman" w:hAnsi="Century Gothic" w:cs="Times New Roman"/>
          <w:color w:val="000000"/>
          <w:sz w:val="20"/>
          <w:szCs w:val="20"/>
        </w:rPr>
        <w:t xml:space="preserve">. Any notices required or permitted to be given under the terms of this Agreement shall be sent by certified or registered mail (return receipt requested) or delivered personally or by courier (including a recognized overnight delivery service) or by facsimile and shall be effective five days after being placed in the mail, if mailed by regular United States mail, or upon receipt, if delivered personally or by courier (including a recognized overnight delivery </w:t>
      </w:r>
      <w:r w:rsidRPr="00BD2CA1">
        <w:rPr>
          <w:rFonts w:ascii="Century Gothic" w:eastAsia="Times New Roman" w:hAnsi="Century Gothic" w:cs="Times New Roman"/>
          <w:color w:val="000000"/>
          <w:sz w:val="20"/>
          <w:szCs w:val="20"/>
        </w:rPr>
        <w:lastRenderedPageBreak/>
        <w:t>service) or by facsimile, in each case addressed to a party. The addresses for such communications shall be:</w:t>
      </w:r>
    </w:p>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14"/>
          <w:szCs w:val="14"/>
        </w:rPr>
      </w:pPr>
      <w:r w:rsidRPr="00BD2CA1">
        <w:rPr>
          <w:rFonts w:ascii="Century Gothic" w:eastAsia="Times New Roman" w:hAnsi="Century Gothic" w:cs="Times New Roman"/>
          <w:color w:val="000000"/>
          <w:sz w:val="14"/>
          <w:szCs w:val="14"/>
        </w:rPr>
        <w:t> </w:t>
      </w:r>
    </w:p>
    <w:tbl>
      <w:tblPr>
        <w:tblW w:w="5000" w:type="pct"/>
        <w:jc w:val="center"/>
        <w:tblCellSpacing w:w="0" w:type="dxa"/>
        <w:shd w:val="clear" w:color="auto" w:fill="FFFFFF"/>
        <w:tblCellMar>
          <w:left w:w="0" w:type="dxa"/>
          <w:right w:w="0" w:type="dxa"/>
        </w:tblCellMar>
        <w:tblLook w:val="04A0"/>
      </w:tblPr>
      <w:tblGrid>
        <w:gridCol w:w="1998"/>
        <w:gridCol w:w="84"/>
        <w:gridCol w:w="952"/>
        <w:gridCol w:w="84"/>
        <w:gridCol w:w="6242"/>
      </w:tblGrid>
      <w:tr w:rsidR="00BD2CA1" w:rsidRPr="00BD2CA1" w:rsidTr="00BD2CA1">
        <w:trPr>
          <w:tblCellSpacing w:w="0" w:type="dxa"/>
          <w:jc w:val="center"/>
        </w:trPr>
        <w:tc>
          <w:tcPr>
            <w:tcW w:w="750" w:type="pct"/>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100" w:type="pct"/>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350" w:type="pct"/>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100" w:type="pct"/>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3700" w:type="pct"/>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If to LTC:</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Lithium Technology Corporation</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5115 Campus</w:t>
            </w:r>
          </w:p>
          <w:p w:rsidR="00BD2CA1" w:rsidRPr="00BD2CA1" w:rsidRDefault="00BD2CA1" w:rsidP="00BD2CA1">
            <w:pPr>
              <w:spacing w:after="12"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Drive Plymouth Meeting, Pennsylvania 19462</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Attention:</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xml:space="preserve">Mr. Amir </w:t>
            </w:r>
            <w:proofErr w:type="spellStart"/>
            <w:r w:rsidRPr="00BD2CA1">
              <w:rPr>
                <w:rFonts w:ascii="Century Gothic" w:eastAsia="Times New Roman" w:hAnsi="Century Gothic" w:cs="Times New Roman"/>
                <w:sz w:val="20"/>
                <w:szCs w:val="20"/>
              </w:rPr>
              <w:t>Elbaz</w:t>
            </w:r>
            <w:proofErr w:type="spellEnd"/>
            <w:r w:rsidRPr="00BD2CA1">
              <w:rPr>
                <w:rFonts w:ascii="Century Gothic" w:eastAsia="Times New Roman" w:hAnsi="Century Gothic" w:cs="Times New Roman"/>
                <w:sz w:val="20"/>
                <w:szCs w:val="20"/>
              </w:rPr>
              <w:t>, Chief Financial Officer</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Facsimile:</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610-940-6091</w:t>
            </w:r>
          </w:p>
        </w:tc>
      </w:tr>
      <w:tr w:rsidR="00BD2CA1" w:rsidRPr="00BD2CA1" w:rsidTr="00BD2CA1">
        <w:trPr>
          <w:trHeight w:val="120"/>
          <w:tblCellSpacing w:w="0" w:type="dxa"/>
          <w:jc w:val="center"/>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12"/>
                <w:szCs w:val="24"/>
              </w:rPr>
            </w:pPr>
          </w:p>
        </w:tc>
        <w:tc>
          <w:tcPr>
            <w:tcW w:w="0" w:type="auto"/>
            <w:gridSpan w:val="4"/>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12"/>
                <w:szCs w:val="24"/>
              </w:rPr>
            </w:pP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If to GAIA:</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xml:space="preserve">GAIA </w:t>
            </w:r>
            <w:proofErr w:type="spellStart"/>
            <w:r w:rsidRPr="00BD2CA1">
              <w:rPr>
                <w:rFonts w:ascii="Century Gothic" w:eastAsia="Times New Roman" w:hAnsi="Century Gothic" w:cs="Times New Roman"/>
                <w:sz w:val="20"/>
                <w:szCs w:val="20"/>
              </w:rPr>
              <w:t>Akkumulatorenwerke</w:t>
            </w:r>
            <w:proofErr w:type="spellEnd"/>
            <w:r w:rsidRPr="00BD2CA1">
              <w:rPr>
                <w:rFonts w:ascii="Century Gothic" w:eastAsia="Times New Roman" w:hAnsi="Century Gothic" w:cs="Times New Roman"/>
                <w:sz w:val="20"/>
                <w:szCs w:val="20"/>
              </w:rPr>
              <w:t xml:space="preserve"> GmbH</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roofErr w:type="spellStart"/>
            <w:r w:rsidRPr="00BD2CA1">
              <w:rPr>
                <w:rFonts w:ascii="Century Gothic" w:eastAsia="Times New Roman" w:hAnsi="Century Gothic" w:cs="Times New Roman"/>
                <w:sz w:val="20"/>
                <w:szCs w:val="20"/>
              </w:rPr>
              <w:t>MontaniastraBe</w:t>
            </w:r>
            <w:proofErr w:type="spellEnd"/>
            <w:r w:rsidRPr="00BD2CA1">
              <w:rPr>
                <w:rFonts w:ascii="Century Gothic" w:eastAsia="Times New Roman" w:hAnsi="Century Gothic" w:cs="Times New Roman"/>
                <w:sz w:val="20"/>
                <w:szCs w:val="20"/>
              </w:rPr>
              <w:t xml:space="preserve"> 17</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xml:space="preserve">D-99734 </w:t>
            </w:r>
            <w:proofErr w:type="spellStart"/>
            <w:r w:rsidRPr="00BD2CA1">
              <w:rPr>
                <w:rFonts w:ascii="Century Gothic" w:eastAsia="Times New Roman" w:hAnsi="Century Gothic" w:cs="Times New Roman"/>
                <w:sz w:val="20"/>
                <w:szCs w:val="20"/>
              </w:rPr>
              <w:t>Nordhausen</w:t>
            </w:r>
            <w:proofErr w:type="spellEnd"/>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Germany</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Attention:</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Dr. Klaus Brandt, Chief Executive Officer</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Facsimile:</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011 49 36 31 61 67 49</w:t>
            </w:r>
          </w:p>
        </w:tc>
      </w:tr>
      <w:tr w:rsidR="00BD2CA1" w:rsidRPr="00BD2CA1" w:rsidTr="00BD2CA1">
        <w:trPr>
          <w:trHeight w:val="120"/>
          <w:tblCellSpacing w:w="0" w:type="dxa"/>
          <w:jc w:val="center"/>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12"/>
                <w:szCs w:val="24"/>
              </w:rPr>
            </w:pPr>
          </w:p>
        </w:tc>
        <w:tc>
          <w:tcPr>
            <w:tcW w:w="0" w:type="auto"/>
            <w:gridSpan w:val="4"/>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12"/>
                <w:szCs w:val="24"/>
              </w:rPr>
            </w:pP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If to any </w:t>
            </w:r>
            <w:proofErr w:type="spellStart"/>
            <w:r w:rsidRPr="00BD2CA1">
              <w:rPr>
                <w:rFonts w:ascii="Century Gothic" w:eastAsia="Times New Roman" w:hAnsi="Century Gothic" w:cs="Times New Roman"/>
                <w:sz w:val="20"/>
                <w:szCs w:val="20"/>
              </w:rPr>
              <w:t>Debtholder</w:t>
            </w:r>
            <w:proofErr w:type="spellEnd"/>
            <w:r w:rsidRPr="00BD2CA1">
              <w:rPr>
                <w:rFonts w:ascii="Century Gothic" w:eastAsia="Times New Roman" w:hAnsi="Century Gothic" w:cs="Times New Roman"/>
                <w:sz w:val="20"/>
                <w:szCs w:val="20"/>
              </w:rPr>
              <w:t>:</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Arch Hill Capital N.V.</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roofErr w:type="spellStart"/>
            <w:r w:rsidRPr="00BD2CA1">
              <w:rPr>
                <w:rFonts w:ascii="Century Gothic" w:eastAsia="Times New Roman" w:hAnsi="Century Gothic" w:cs="Times New Roman"/>
                <w:sz w:val="20"/>
                <w:szCs w:val="20"/>
              </w:rPr>
              <w:t>Parkweg</w:t>
            </w:r>
            <w:proofErr w:type="spellEnd"/>
            <w:r w:rsidRPr="00BD2CA1">
              <w:rPr>
                <w:rFonts w:ascii="Century Gothic" w:eastAsia="Times New Roman" w:hAnsi="Century Gothic" w:cs="Times New Roman"/>
                <w:sz w:val="20"/>
                <w:szCs w:val="20"/>
              </w:rPr>
              <w:t xml:space="preserve"> 2</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2585 JJ’s-Gravenhage</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gridSpan w:val="3"/>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The Netherlands</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Attention:</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xml:space="preserve">Mr. </w:t>
            </w:r>
            <w:proofErr w:type="spellStart"/>
            <w:r w:rsidRPr="00BD2CA1">
              <w:rPr>
                <w:rFonts w:ascii="Century Gothic" w:eastAsia="Times New Roman" w:hAnsi="Century Gothic" w:cs="Times New Roman"/>
                <w:sz w:val="20"/>
                <w:szCs w:val="20"/>
              </w:rPr>
              <w:t>Christiaan</w:t>
            </w:r>
            <w:proofErr w:type="spellEnd"/>
            <w:r w:rsidRPr="00BD2CA1">
              <w:rPr>
                <w:rFonts w:ascii="Century Gothic" w:eastAsia="Times New Roman" w:hAnsi="Century Gothic" w:cs="Times New Roman"/>
                <w:sz w:val="20"/>
                <w:szCs w:val="20"/>
              </w:rPr>
              <w:t xml:space="preserve"> A. van den Berg, Chief Executive Officer</w:t>
            </w:r>
          </w:p>
        </w:tc>
      </w:tr>
      <w:tr w:rsidR="00BD2CA1" w:rsidRPr="00BD2CA1" w:rsidTr="00BD2CA1">
        <w:trPr>
          <w:tblCellSpacing w:w="0" w:type="dxa"/>
          <w:jc w:val="center"/>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Facsimile:</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011 31 70 416 6050</w:t>
            </w:r>
          </w:p>
        </w:tc>
      </w:tr>
    </w:tbl>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15"/>
          <w:szCs w:val="15"/>
        </w:rPr>
        <w:t> </w:t>
      </w:r>
    </w:p>
    <w:p w:rsidR="00BD2CA1" w:rsidRPr="00BD2CA1" w:rsidRDefault="00BD2CA1" w:rsidP="00BD2CA1">
      <w:pPr>
        <w:shd w:val="clear" w:color="auto" w:fill="FFFFFF"/>
        <w:spacing w:after="0" w:line="240" w:lineRule="auto"/>
        <w:jc w:val="center"/>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7</w:t>
      </w:r>
    </w:p>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4"/>
          <w:szCs w:val="24"/>
        </w:rPr>
        <w:pict>
          <v:rect id="_x0000_i1028" style="width:468pt;height:2.25pt" o:hralign="center" o:hrstd="t" o:hrnoshade="t" o:hr="t" fillcolor="black" stroked="f"/>
        </w:pict>
      </w:r>
    </w:p>
    <w:p w:rsidR="00BD2CA1" w:rsidRPr="00BD2CA1" w:rsidRDefault="00BD2CA1" w:rsidP="00BD2CA1">
      <w:pPr>
        <w:shd w:val="clear" w:color="auto" w:fill="FFFFFF"/>
        <w:spacing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Each party shall provide notice to the other party of any change in address.</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h. </w:t>
      </w:r>
      <w:r w:rsidRPr="00BD2CA1">
        <w:rPr>
          <w:rFonts w:ascii="Century Gothic" w:eastAsia="Times New Roman" w:hAnsi="Century Gothic" w:cs="Times New Roman"/>
          <w:b/>
          <w:bCs/>
          <w:color w:val="000000"/>
          <w:sz w:val="20"/>
          <w:szCs w:val="20"/>
          <w:u w:val="single"/>
        </w:rPr>
        <w:t>Successors and Assigns</w:t>
      </w:r>
      <w:r w:rsidRPr="00BD2CA1">
        <w:rPr>
          <w:rFonts w:ascii="Century Gothic" w:eastAsia="Times New Roman" w:hAnsi="Century Gothic" w:cs="Times New Roman"/>
          <w:color w:val="000000"/>
          <w:sz w:val="20"/>
          <w:szCs w:val="20"/>
        </w:rPr>
        <w:t>. This Agreement shall be binding upon and inure to the benefit of the parties and their successors and assigns. No party shall assign this Agreement or any rights or obligations hereunder without the prior written consent of the other.</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proofErr w:type="spellStart"/>
      <w:r w:rsidRPr="00BD2CA1">
        <w:rPr>
          <w:rFonts w:ascii="Century Gothic" w:eastAsia="Times New Roman" w:hAnsi="Century Gothic" w:cs="Times New Roman"/>
          <w:b/>
          <w:bCs/>
          <w:color w:val="000000"/>
          <w:sz w:val="20"/>
          <w:szCs w:val="20"/>
        </w:rPr>
        <w:t>i</w:t>
      </w:r>
      <w:proofErr w:type="spellEnd"/>
      <w:r w:rsidRPr="00BD2CA1">
        <w:rPr>
          <w:rFonts w:ascii="Century Gothic" w:eastAsia="Times New Roman" w:hAnsi="Century Gothic" w:cs="Times New Roman"/>
          <w:b/>
          <w:bCs/>
          <w:color w:val="000000"/>
          <w:sz w:val="20"/>
          <w:szCs w:val="20"/>
        </w:rPr>
        <w:t>. </w:t>
      </w:r>
      <w:r w:rsidRPr="00BD2CA1">
        <w:rPr>
          <w:rFonts w:ascii="Century Gothic" w:eastAsia="Times New Roman" w:hAnsi="Century Gothic" w:cs="Times New Roman"/>
          <w:b/>
          <w:bCs/>
          <w:color w:val="000000"/>
          <w:sz w:val="20"/>
          <w:szCs w:val="20"/>
          <w:u w:val="single"/>
        </w:rPr>
        <w:t>Third Party Beneficiaries</w:t>
      </w:r>
      <w:r w:rsidRPr="00BD2CA1">
        <w:rPr>
          <w:rFonts w:ascii="Century Gothic" w:eastAsia="Times New Roman" w:hAnsi="Century Gothic" w:cs="Times New Roman"/>
          <w:color w:val="000000"/>
          <w:sz w:val="20"/>
          <w:szCs w:val="20"/>
        </w:rPr>
        <w:t>. This Agreement is intended for the benefit of the parties hereto and their respective permitted successors and assigns, and is not for the benefit of, nor may any provision hereof be enforced by, any other person.</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j. </w:t>
      </w:r>
      <w:r w:rsidRPr="00BD2CA1">
        <w:rPr>
          <w:rFonts w:ascii="Century Gothic" w:eastAsia="Times New Roman" w:hAnsi="Century Gothic" w:cs="Times New Roman"/>
          <w:b/>
          <w:bCs/>
          <w:color w:val="000000"/>
          <w:sz w:val="20"/>
          <w:szCs w:val="20"/>
          <w:u w:val="single"/>
        </w:rPr>
        <w:t>Survival</w:t>
      </w:r>
      <w:r w:rsidRPr="00BD2CA1">
        <w:rPr>
          <w:rFonts w:ascii="Century Gothic" w:eastAsia="Times New Roman" w:hAnsi="Century Gothic" w:cs="Times New Roman"/>
          <w:color w:val="000000"/>
          <w:sz w:val="20"/>
          <w:szCs w:val="20"/>
        </w:rPr>
        <w:t>. The agreements and covenants set forth herein shall survive the Closing.</w:t>
      </w:r>
    </w:p>
    <w:p w:rsidR="00BD2CA1" w:rsidRPr="00BD2CA1" w:rsidRDefault="00BD2CA1" w:rsidP="00BD2CA1">
      <w:pPr>
        <w:shd w:val="clear" w:color="auto" w:fill="FFFFFF"/>
        <w:spacing w:before="144" w:after="0" w:line="240" w:lineRule="auto"/>
        <w:ind w:firstLine="979"/>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k. </w:t>
      </w:r>
      <w:r w:rsidRPr="00BD2CA1">
        <w:rPr>
          <w:rFonts w:ascii="Century Gothic" w:eastAsia="Times New Roman" w:hAnsi="Century Gothic" w:cs="Times New Roman"/>
          <w:b/>
          <w:bCs/>
          <w:color w:val="000000"/>
          <w:sz w:val="20"/>
          <w:szCs w:val="20"/>
          <w:u w:val="single"/>
        </w:rPr>
        <w:t>Further Assurances</w:t>
      </w:r>
      <w:r w:rsidRPr="00BD2CA1">
        <w:rPr>
          <w:rFonts w:ascii="Century Gothic" w:eastAsia="Times New Roman" w:hAnsi="Century Gothic" w:cs="Times New Roman"/>
          <w:color w:val="000000"/>
          <w:sz w:val="20"/>
          <w:szCs w:val="20"/>
        </w:rPr>
        <w:t>. Each party shall do and perform, or cause to be done and performed, all such further acts and things, and shall execute and deliver all such other agreements, certificates, instruments and documents, as the other party may reasonably request in order to carry out the intent and accomplish the purposes of this Agreement and the consummation of the transactions contemplated hereby, including but not limited to, the execution of any amendment relating to the calculation of the Debt set forth on Schedule I if necessary.</w:t>
      </w:r>
    </w:p>
    <w:p w:rsidR="00BD2CA1" w:rsidRPr="00BD2CA1" w:rsidRDefault="00BD2CA1" w:rsidP="00BD2CA1">
      <w:pPr>
        <w:shd w:val="clear" w:color="auto" w:fill="FFFFFF"/>
        <w:spacing w:before="144" w:after="0" w:line="240" w:lineRule="auto"/>
        <w:ind w:left="476"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l. </w:t>
      </w:r>
      <w:r w:rsidRPr="00BD2CA1">
        <w:rPr>
          <w:rFonts w:ascii="Century Gothic" w:eastAsia="Times New Roman" w:hAnsi="Century Gothic" w:cs="Times New Roman"/>
          <w:b/>
          <w:bCs/>
          <w:color w:val="000000"/>
          <w:sz w:val="20"/>
          <w:szCs w:val="20"/>
          <w:u w:val="single"/>
        </w:rPr>
        <w:t>Review of Agreement</w:t>
      </w:r>
      <w:r w:rsidRPr="00BD2CA1">
        <w:rPr>
          <w:rFonts w:ascii="Century Gothic" w:eastAsia="Times New Roman" w:hAnsi="Century Gothic" w:cs="Times New Roman"/>
          <w:color w:val="000000"/>
          <w:sz w:val="20"/>
          <w:szCs w:val="20"/>
        </w:rPr>
        <w:t xml:space="preserve">. Each party hereto represents and warrants that it has carefully read this Agreement and knows the contents hereof and that it has signed this Agreement freely and voluntarily and that each party has obtained independent counsel in reviewing this document and further acknowledges that the law firm of Gallagher, </w:t>
      </w:r>
      <w:proofErr w:type="spellStart"/>
      <w:r w:rsidRPr="00BD2CA1">
        <w:rPr>
          <w:rFonts w:ascii="Century Gothic" w:eastAsia="Times New Roman" w:hAnsi="Century Gothic" w:cs="Times New Roman"/>
          <w:color w:val="000000"/>
          <w:sz w:val="20"/>
          <w:szCs w:val="20"/>
        </w:rPr>
        <w:t>Briody</w:t>
      </w:r>
      <w:proofErr w:type="spellEnd"/>
      <w:r w:rsidRPr="00BD2CA1">
        <w:rPr>
          <w:rFonts w:ascii="Century Gothic" w:eastAsia="Times New Roman" w:hAnsi="Century Gothic" w:cs="Times New Roman"/>
          <w:color w:val="000000"/>
          <w:sz w:val="20"/>
          <w:szCs w:val="20"/>
        </w:rPr>
        <w:t> &amp; Butler has memorialized the within Agreement and has provided legal advice solely to LTC with respect to this Agreement.</w:t>
      </w:r>
    </w:p>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15"/>
          <w:szCs w:val="15"/>
        </w:rPr>
        <w:t> </w:t>
      </w:r>
    </w:p>
    <w:p w:rsidR="00BD2CA1" w:rsidRPr="00BD2CA1" w:rsidRDefault="00BD2CA1" w:rsidP="00BD2CA1">
      <w:pPr>
        <w:shd w:val="clear" w:color="auto" w:fill="FFFFFF"/>
        <w:spacing w:after="0" w:line="240" w:lineRule="auto"/>
        <w:jc w:val="center"/>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8</w:t>
      </w:r>
    </w:p>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4"/>
          <w:szCs w:val="24"/>
        </w:rPr>
        <w:pict>
          <v:rect id="_x0000_i1029" style="width:468pt;height:2.25pt" o:hralign="center" o:hrstd="t" o:hrnoshade="t" o:hr="t" fillcolor="black" stroked="f"/>
        </w:pict>
      </w:r>
    </w:p>
    <w:p w:rsidR="00BD2CA1" w:rsidRPr="00BD2CA1" w:rsidRDefault="00BD2CA1" w:rsidP="00BD2CA1">
      <w:pPr>
        <w:shd w:val="clear" w:color="auto" w:fill="FFFFFF"/>
        <w:spacing w:after="0" w:line="240" w:lineRule="auto"/>
        <w:ind w:firstLine="490"/>
        <w:rPr>
          <w:rFonts w:ascii="Century Gothic" w:eastAsia="Times New Roman" w:hAnsi="Century Gothic" w:cs="Times New Roman"/>
          <w:color w:val="000000"/>
          <w:sz w:val="27"/>
          <w:szCs w:val="27"/>
        </w:rPr>
      </w:pPr>
      <w:r w:rsidRPr="00BD2CA1">
        <w:rPr>
          <w:rFonts w:ascii="Century Gothic" w:eastAsia="Times New Roman" w:hAnsi="Century Gothic" w:cs="Times New Roman"/>
          <w:b/>
          <w:bCs/>
          <w:color w:val="000000"/>
          <w:sz w:val="20"/>
          <w:szCs w:val="20"/>
        </w:rPr>
        <w:t>IN WITNESS WHEREOF</w:t>
      </w:r>
      <w:r w:rsidRPr="00BD2CA1">
        <w:rPr>
          <w:rFonts w:ascii="Century Gothic" w:eastAsia="Times New Roman" w:hAnsi="Century Gothic" w:cs="Times New Roman"/>
          <w:color w:val="000000"/>
          <w:sz w:val="20"/>
          <w:szCs w:val="20"/>
        </w:rPr>
        <w:t>, the undersigned have caused this Agreement to be duly executed as of the date first above written.</w:t>
      </w:r>
    </w:p>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14"/>
          <w:szCs w:val="14"/>
        </w:rPr>
      </w:pPr>
      <w:r w:rsidRPr="00BD2CA1">
        <w:rPr>
          <w:rFonts w:ascii="Century Gothic" w:eastAsia="Times New Roman" w:hAnsi="Century Gothic" w:cs="Times New Roman"/>
          <w:color w:val="000000"/>
          <w:sz w:val="14"/>
          <w:szCs w:val="14"/>
        </w:rPr>
        <w:lastRenderedPageBreak/>
        <w:t> </w:t>
      </w:r>
    </w:p>
    <w:tbl>
      <w:tblPr>
        <w:tblW w:w="2000" w:type="pct"/>
        <w:tblCellSpacing w:w="0" w:type="dxa"/>
        <w:shd w:val="clear" w:color="auto" w:fill="FFFFFF"/>
        <w:tblCellMar>
          <w:left w:w="0" w:type="dxa"/>
          <w:right w:w="0" w:type="dxa"/>
        </w:tblCellMar>
        <w:tblLook w:val="04A0"/>
      </w:tblPr>
      <w:tblGrid>
        <w:gridCol w:w="279"/>
        <w:gridCol w:w="43"/>
        <w:gridCol w:w="3422"/>
      </w:tblGrid>
      <w:tr w:rsidR="00BD2CA1" w:rsidRPr="00BD2CA1" w:rsidTr="00BD2CA1">
        <w:trPr>
          <w:tblCellSpacing w:w="0" w:type="dxa"/>
        </w:trPr>
        <w:tc>
          <w:tcPr>
            <w:tcW w:w="350" w:type="pct"/>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50" w:type="pct"/>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4600" w:type="pct"/>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b/>
                <w:bCs/>
                <w:sz w:val="20"/>
                <w:szCs w:val="20"/>
              </w:rPr>
              <w:t>LITHIUM TECHNOLOGY CORPORATION</w:t>
            </w:r>
          </w:p>
        </w:tc>
      </w:tr>
      <w:tr w:rsidR="00BD2CA1" w:rsidRPr="00BD2CA1" w:rsidTr="00BD2CA1">
        <w:trPr>
          <w:trHeight w:val="240"/>
          <w:tblCellSpacing w:w="0" w:type="dxa"/>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gridSpan w:val="2"/>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By:</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pBdr>
                <w:bottom w:val="single" w:sz="4" w:space="0" w:color="000000"/>
              </w:pBdr>
              <w:spacing w:after="12"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xml:space="preserve">Amir </w:t>
            </w:r>
            <w:proofErr w:type="spellStart"/>
            <w:r w:rsidRPr="00BD2CA1">
              <w:rPr>
                <w:rFonts w:ascii="Century Gothic" w:eastAsia="Times New Roman" w:hAnsi="Century Gothic" w:cs="Times New Roman"/>
                <w:sz w:val="20"/>
                <w:szCs w:val="20"/>
              </w:rPr>
              <w:t>Elbaz</w:t>
            </w:r>
            <w:proofErr w:type="spellEnd"/>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Chief Financial Officer</w:t>
            </w:r>
          </w:p>
        </w:tc>
      </w:tr>
      <w:tr w:rsidR="00BD2CA1" w:rsidRPr="00BD2CA1" w:rsidTr="00BD2CA1">
        <w:trPr>
          <w:trHeight w:val="240"/>
          <w:tblCellSpacing w:w="0" w:type="dxa"/>
        </w:trPr>
        <w:tc>
          <w:tcPr>
            <w:tcW w:w="0" w:type="auto"/>
            <w:gridSpan w:val="3"/>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b/>
                <w:bCs/>
                <w:sz w:val="20"/>
                <w:szCs w:val="20"/>
              </w:rPr>
              <w:t>GAIA AKKUMULATORENWERKE GMBH</w:t>
            </w:r>
          </w:p>
        </w:tc>
      </w:tr>
      <w:tr w:rsidR="00BD2CA1" w:rsidRPr="00BD2CA1" w:rsidTr="00BD2CA1">
        <w:trPr>
          <w:trHeight w:val="240"/>
          <w:tblCellSpacing w:w="0" w:type="dxa"/>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gridSpan w:val="2"/>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By:</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pBdr>
                <w:bottom w:val="single" w:sz="4" w:space="0" w:color="000000"/>
              </w:pBdr>
              <w:spacing w:after="12"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Klaus Brandt</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Chief Executive Officer</w:t>
            </w:r>
          </w:p>
        </w:tc>
      </w:tr>
      <w:tr w:rsidR="00BD2CA1" w:rsidRPr="00BD2CA1" w:rsidTr="00BD2CA1">
        <w:trPr>
          <w:trHeight w:val="240"/>
          <w:tblCellSpacing w:w="0" w:type="dxa"/>
        </w:trPr>
        <w:tc>
          <w:tcPr>
            <w:tcW w:w="0" w:type="auto"/>
            <w:gridSpan w:val="3"/>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b/>
                <w:bCs/>
                <w:sz w:val="20"/>
                <w:szCs w:val="20"/>
              </w:rPr>
              <w:t>ARCH HILL CAPITAL, N.V.</w:t>
            </w:r>
          </w:p>
        </w:tc>
      </w:tr>
      <w:tr w:rsidR="00BD2CA1" w:rsidRPr="00BD2CA1" w:rsidTr="00BD2CA1">
        <w:trPr>
          <w:trHeight w:val="240"/>
          <w:tblCellSpacing w:w="0" w:type="dxa"/>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gridSpan w:val="2"/>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By:</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pBdr>
                <w:bottom w:val="single" w:sz="4" w:space="0" w:color="000000"/>
              </w:pBdr>
              <w:spacing w:after="12"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roofErr w:type="spellStart"/>
            <w:r w:rsidRPr="00BD2CA1">
              <w:rPr>
                <w:rFonts w:ascii="Century Gothic" w:eastAsia="Times New Roman" w:hAnsi="Century Gothic" w:cs="Times New Roman"/>
                <w:sz w:val="20"/>
                <w:szCs w:val="20"/>
              </w:rPr>
              <w:t>Christiaan</w:t>
            </w:r>
            <w:proofErr w:type="spellEnd"/>
            <w:r w:rsidRPr="00BD2CA1">
              <w:rPr>
                <w:rFonts w:ascii="Century Gothic" w:eastAsia="Times New Roman" w:hAnsi="Century Gothic" w:cs="Times New Roman"/>
                <w:sz w:val="20"/>
                <w:szCs w:val="20"/>
              </w:rPr>
              <w:t xml:space="preserve"> A. van den Berg</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Chief Executive Officer</w:t>
            </w:r>
          </w:p>
        </w:tc>
      </w:tr>
      <w:tr w:rsidR="00BD2CA1" w:rsidRPr="00BD2CA1" w:rsidTr="00BD2CA1">
        <w:trPr>
          <w:trHeight w:val="240"/>
          <w:tblCellSpacing w:w="0" w:type="dxa"/>
        </w:trPr>
        <w:tc>
          <w:tcPr>
            <w:tcW w:w="0" w:type="auto"/>
            <w:gridSpan w:val="3"/>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b/>
                <w:bCs/>
                <w:sz w:val="20"/>
                <w:szCs w:val="20"/>
              </w:rPr>
              <w:t>ARCH HILL VENTURES N.V.</w:t>
            </w:r>
          </w:p>
        </w:tc>
      </w:tr>
      <w:tr w:rsidR="00BD2CA1" w:rsidRPr="00BD2CA1" w:rsidTr="00BD2CA1">
        <w:trPr>
          <w:trHeight w:val="240"/>
          <w:tblCellSpacing w:w="0" w:type="dxa"/>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gridSpan w:val="2"/>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By:</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pBdr>
                <w:bottom w:val="single" w:sz="4" w:space="0" w:color="000000"/>
              </w:pBdr>
              <w:spacing w:after="12"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roofErr w:type="spellStart"/>
            <w:r w:rsidRPr="00BD2CA1">
              <w:rPr>
                <w:rFonts w:ascii="Century Gothic" w:eastAsia="Times New Roman" w:hAnsi="Century Gothic" w:cs="Times New Roman"/>
                <w:sz w:val="20"/>
                <w:szCs w:val="20"/>
              </w:rPr>
              <w:t>Christiaan</w:t>
            </w:r>
            <w:proofErr w:type="spellEnd"/>
            <w:r w:rsidRPr="00BD2CA1">
              <w:rPr>
                <w:rFonts w:ascii="Century Gothic" w:eastAsia="Times New Roman" w:hAnsi="Century Gothic" w:cs="Times New Roman"/>
                <w:sz w:val="20"/>
                <w:szCs w:val="20"/>
              </w:rPr>
              <w:t xml:space="preserve"> A. van den Berg</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Executive Officer</w:t>
            </w:r>
          </w:p>
        </w:tc>
      </w:tr>
      <w:tr w:rsidR="00BD2CA1" w:rsidRPr="00BD2CA1" w:rsidTr="00BD2CA1">
        <w:trPr>
          <w:trHeight w:val="240"/>
          <w:tblCellSpacing w:w="0" w:type="dxa"/>
        </w:trPr>
        <w:tc>
          <w:tcPr>
            <w:tcW w:w="0" w:type="auto"/>
            <w:gridSpan w:val="3"/>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gridSpan w:val="3"/>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b/>
                <w:bCs/>
                <w:sz w:val="20"/>
                <w:szCs w:val="20"/>
              </w:rPr>
              <w:t>ARCH HILL REAL ESTATE N.V.</w:t>
            </w:r>
          </w:p>
        </w:tc>
      </w:tr>
      <w:tr w:rsidR="00BD2CA1" w:rsidRPr="00BD2CA1" w:rsidTr="00BD2CA1">
        <w:trPr>
          <w:trHeight w:val="240"/>
          <w:tblCellSpacing w:w="0" w:type="dxa"/>
        </w:trPr>
        <w:tc>
          <w:tcPr>
            <w:tcW w:w="0" w:type="auto"/>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gridSpan w:val="2"/>
            <w:shd w:val="clear" w:color="auto" w:fill="FFFFFF"/>
            <w:vAlign w:val="center"/>
            <w:hideMark/>
          </w:tcPr>
          <w:p w:rsidR="00BD2CA1" w:rsidRPr="00BD2CA1" w:rsidRDefault="00BD2CA1" w:rsidP="00BD2CA1">
            <w:pPr>
              <w:spacing w:after="0" w:line="240" w:lineRule="auto"/>
              <w:rPr>
                <w:rFonts w:ascii="Century Gothic" w:eastAsia="Times New Roman" w:hAnsi="Century Gothic" w:cs="Times New Roman"/>
                <w:sz w:val="24"/>
                <w:szCs w:val="24"/>
              </w:rPr>
            </w:pP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By:</w:t>
            </w: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pBdr>
                <w:bottom w:val="single" w:sz="4" w:space="0" w:color="000000"/>
              </w:pBdr>
              <w:spacing w:after="12"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 </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roofErr w:type="spellStart"/>
            <w:r w:rsidRPr="00BD2CA1">
              <w:rPr>
                <w:rFonts w:ascii="Century Gothic" w:eastAsia="Times New Roman" w:hAnsi="Century Gothic" w:cs="Times New Roman"/>
                <w:sz w:val="20"/>
                <w:szCs w:val="20"/>
              </w:rPr>
              <w:t>Christiaan</w:t>
            </w:r>
            <w:proofErr w:type="spellEnd"/>
            <w:r w:rsidRPr="00BD2CA1">
              <w:rPr>
                <w:rFonts w:ascii="Century Gothic" w:eastAsia="Times New Roman" w:hAnsi="Century Gothic" w:cs="Times New Roman"/>
                <w:sz w:val="20"/>
                <w:szCs w:val="20"/>
              </w:rPr>
              <w:t xml:space="preserve"> A. van den Berg</w:t>
            </w:r>
          </w:p>
        </w:tc>
      </w:tr>
      <w:tr w:rsidR="00BD2CA1" w:rsidRPr="00BD2CA1" w:rsidTr="00BD2CA1">
        <w:trPr>
          <w:tblCellSpacing w:w="0" w:type="dxa"/>
        </w:trPr>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p>
        </w:tc>
        <w:tc>
          <w:tcPr>
            <w:tcW w:w="0" w:type="auto"/>
            <w:shd w:val="clear" w:color="auto" w:fill="FFFFFF"/>
            <w:vAlign w:val="bottom"/>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15"/>
                <w:szCs w:val="15"/>
              </w:rPr>
              <w:t> </w:t>
            </w:r>
          </w:p>
        </w:tc>
        <w:tc>
          <w:tcPr>
            <w:tcW w:w="0" w:type="auto"/>
            <w:shd w:val="clear" w:color="auto" w:fill="FFFFFF"/>
            <w:hideMark/>
          </w:tcPr>
          <w:p w:rsidR="00BD2CA1" w:rsidRPr="00BD2CA1" w:rsidRDefault="00BD2CA1" w:rsidP="00BD2CA1">
            <w:pPr>
              <w:spacing w:after="0" w:line="240" w:lineRule="auto"/>
              <w:rPr>
                <w:rFonts w:ascii="Century Gothic" w:eastAsia="Times New Roman" w:hAnsi="Century Gothic" w:cs="Times New Roman"/>
                <w:sz w:val="24"/>
                <w:szCs w:val="24"/>
              </w:rPr>
            </w:pPr>
            <w:r w:rsidRPr="00BD2CA1">
              <w:rPr>
                <w:rFonts w:ascii="Century Gothic" w:eastAsia="Times New Roman" w:hAnsi="Century Gothic" w:cs="Times New Roman"/>
                <w:sz w:val="20"/>
                <w:szCs w:val="20"/>
              </w:rPr>
              <w:t>Executive Officer</w:t>
            </w:r>
          </w:p>
        </w:tc>
      </w:tr>
    </w:tbl>
    <w:p w:rsidR="00BD2CA1" w:rsidRPr="00BD2CA1" w:rsidRDefault="00BD2CA1" w:rsidP="00BD2CA1">
      <w:pPr>
        <w:shd w:val="clear" w:color="auto" w:fill="FFFFFF"/>
        <w:spacing w:after="0" w:line="240" w:lineRule="auto"/>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15"/>
          <w:szCs w:val="15"/>
        </w:rPr>
        <w:t> </w:t>
      </w:r>
    </w:p>
    <w:p w:rsidR="00BD2CA1" w:rsidRPr="00BD2CA1" w:rsidRDefault="00BD2CA1" w:rsidP="00BD2CA1">
      <w:pPr>
        <w:shd w:val="clear" w:color="auto" w:fill="FFFFFF"/>
        <w:spacing w:after="0" w:line="240" w:lineRule="auto"/>
        <w:jc w:val="center"/>
        <w:rPr>
          <w:rFonts w:ascii="Century Gothic" w:eastAsia="Times New Roman" w:hAnsi="Century Gothic" w:cs="Times New Roman"/>
          <w:color w:val="000000"/>
          <w:sz w:val="27"/>
          <w:szCs w:val="27"/>
        </w:rPr>
      </w:pPr>
      <w:r w:rsidRPr="00BD2CA1">
        <w:rPr>
          <w:rFonts w:ascii="Century Gothic" w:eastAsia="Times New Roman" w:hAnsi="Century Gothic" w:cs="Times New Roman"/>
          <w:color w:val="000000"/>
          <w:sz w:val="20"/>
          <w:szCs w:val="20"/>
        </w:rPr>
        <w:t>9</w:t>
      </w:r>
    </w:p>
    <w:p w:rsidR="004A4CDB" w:rsidRPr="00BD2CA1" w:rsidRDefault="004A4CDB">
      <w:pPr>
        <w:rPr>
          <w:rFonts w:ascii="Century Gothic" w:hAnsi="Century Gothic"/>
        </w:rPr>
      </w:pPr>
    </w:p>
    <w:sectPr w:rsidR="004A4CDB" w:rsidRPr="00BD2CA1" w:rsidSect="004A4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D2CA1"/>
    <w:rsid w:val="004A4CDB"/>
    <w:rsid w:val="00BD2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11544</Characters>
  <Application>Microsoft Office Word</Application>
  <DocSecurity>0</DocSecurity>
  <Lines>96</Lines>
  <Paragraphs>27</Paragraphs>
  <ScaleCrop>false</ScaleCrop>
  <Company>MRT www.Win2Farsi.com</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2021-03-23T10:13:00Z</dcterms:created>
  <dcterms:modified xsi:type="dcterms:W3CDTF">2021-03-23T10:14:00Z</dcterms:modified>
</cp:coreProperties>
</file>